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EB8" w:rsidRPr="000D7F47" w:rsidRDefault="00607EB8" w:rsidP="00607EB8">
      <w:pPr>
        <w:spacing w:after="0" w:line="360" w:lineRule="auto"/>
        <w:contextualSpacing/>
        <w:jc w:val="both"/>
        <w:rPr>
          <w:rFonts w:ascii="Arial" w:hAnsi="Arial" w:cs="Arial"/>
          <w:b/>
          <w:sz w:val="20"/>
          <w:szCs w:val="20"/>
        </w:rPr>
      </w:pPr>
      <w:r>
        <w:rPr>
          <w:rFonts w:ascii="Arial" w:hAnsi="Arial" w:cs="Arial"/>
          <w:b/>
          <w:sz w:val="20"/>
          <w:szCs w:val="20"/>
        </w:rPr>
        <w:t>TIG: Board Resolution</w:t>
      </w:r>
      <w:r w:rsidRPr="000D7F47">
        <w:rPr>
          <w:rFonts w:ascii="Arial" w:hAnsi="Arial" w:cs="Arial"/>
          <w:b/>
          <w:sz w:val="20"/>
          <w:szCs w:val="20"/>
        </w:rPr>
        <w:t xml:space="preserve"> </w:t>
      </w:r>
    </w:p>
    <w:p w:rsidR="00607EB8" w:rsidRDefault="00607EB8" w:rsidP="00607EB8">
      <w:pPr>
        <w:spacing w:after="0" w:line="360" w:lineRule="auto"/>
        <w:contextualSpacing/>
        <w:jc w:val="both"/>
        <w:rPr>
          <w:rFonts w:ascii="Arial" w:hAnsi="Arial" w:cs="Arial"/>
          <w:sz w:val="20"/>
          <w:szCs w:val="20"/>
        </w:rPr>
      </w:pPr>
      <w:r>
        <w:rPr>
          <w:rFonts w:ascii="Arial" w:hAnsi="Arial" w:cs="Arial"/>
          <w:sz w:val="20"/>
          <w:szCs w:val="20"/>
        </w:rPr>
        <w:t>On 10</w:t>
      </w:r>
      <w:r w:rsidR="00D07E7A">
        <w:rPr>
          <w:rFonts w:ascii="Arial" w:hAnsi="Arial" w:cs="Arial"/>
          <w:sz w:val="20"/>
          <w:szCs w:val="20"/>
        </w:rPr>
        <w:t xml:space="preserve"> Sep</w:t>
      </w:r>
      <w:bookmarkStart w:id="0" w:name="_GoBack"/>
      <w:bookmarkEnd w:id="0"/>
      <w:r w:rsidRPr="000D7F47">
        <w:rPr>
          <w:rFonts w:ascii="Arial" w:hAnsi="Arial" w:cs="Arial"/>
          <w:sz w:val="20"/>
          <w:szCs w:val="20"/>
        </w:rPr>
        <w:t xml:space="preserve"> 2020,</w:t>
      </w:r>
      <w:r>
        <w:rPr>
          <w:rFonts w:ascii="Arial" w:hAnsi="Arial" w:cs="Arial"/>
          <w:sz w:val="20"/>
          <w:szCs w:val="20"/>
        </w:rPr>
        <w:t xml:space="preserve"> Thang Long Investment Group</w:t>
      </w:r>
      <w:r w:rsidRPr="000D7F47">
        <w:rPr>
          <w:rFonts w:ascii="Arial" w:hAnsi="Arial" w:cs="Arial"/>
          <w:sz w:val="20"/>
          <w:szCs w:val="20"/>
        </w:rPr>
        <w:t xml:space="preserve"> Joint Stock Company</w:t>
      </w:r>
      <w:r>
        <w:rPr>
          <w:rFonts w:ascii="Arial" w:hAnsi="Arial" w:cs="Arial"/>
          <w:sz w:val="20"/>
          <w:szCs w:val="20"/>
        </w:rPr>
        <w:t xml:space="preserve"> announced the Board Resolution</w:t>
      </w:r>
      <w:r w:rsidR="00680780">
        <w:rPr>
          <w:rFonts w:ascii="Arial" w:hAnsi="Arial" w:cs="Arial"/>
          <w:sz w:val="20"/>
          <w:szCs w:val="20"/>
        </w:rPr>
        <w:t xml:space="preserve"> No.555/2020/TIG-CBTT,</w:t>
      </w:r>
      <w:r w:rsidRPr="000D7F47">
        <w:rPr>
          <w:rFonts w:ascii="Arial" w:hAnsi="Arial" w:cs="Arial"/>
          <w:sz w:val="20"/>
          <w:szCs w:val="20"/>
        </w:rPr>
        <w:t xml:space="preserve"> as follows:</w:t>
      </w:r>
    </w:p>
    <w:p w:rsidR="00607EB8" w:rsidRPr="00866CAE" w:rsidRDefault="00607EB8" w:rsidP="00607EB8">
      <w:pPr>
        <w:rPr>
          <w:rFonts w:ascii="Arial" w:hAnsi="Arial" w:cs="Arial"/>
          <w:sz w:val="20"/>
          <w:szCs w:val="20"/>
        </w:rPr>
      </w:pPr>
      <w:r w:rsidRPr="00866CAE">
        <w:rPr>
          <w:rFonts w:ascii="Arial" w:hAnsi="Arial" w:cs="Arial"/>
          <w:sz w:val="20"/>
          <w:szCs w:val="20"/>
        </w:rPr>
        <w:t xml:space="preserve">Article 01: Approve </w:t>
      </w:r>
      <w:r w:rsidR="00866CAE" w:rsidRPr="00866CAE">
        <w:rPr>
          <w:rFonts w:ascii="Arial" w:hAnsi="Arial" w:cs="Arial"/>
          <w:sz w:val="20"/>
          <w:szCs w:val="20"/>
        </w:rPr>
        <w:t>the rate and</w:t>
      </w:r>
      <w:r w:rsidRPr="00866CAE">
        <w:rPr>
          <w:rFonts w:ascii="Arial" w:hAnsi="Arial" w:cs="Arial"/>
          <w:sz w:val="20"/>
          <w:szCs w:val="20"/>
        </w:rPr>
        <w:t xml:space="preserve"> the </w:t>
      </w:r>
      <w:r w:rsidR="00866CAE" w:rsidRPr="00866CAE">
        <w:rPr>
          <w:rFonts w:ascii="Arial" w:hAnsi="Arial" w:cs="Arial"/>
          <w:sz w:val="20"/>
          <w:szCs w:val="20"/>
        </w:rPr>
        <w:t xml:space="preserve">form of </w:t>
      </w:r>
      <w:r w:rsidRPr="00866CAE">
        <w:rPr>
          <w:rFonts w:ascii="Arial" w:hAnsi="Arial" w:cs="Arial"/>
          <w:sz w:val="20"/>
          <w:szCs w:val="20"/>
        </w:rPr>
        <w:t xml:space="preserve">dividend payment </w:t>
      </w:r>
      <w:r w:rsidR="00866CAE" w:rsidRPr="00866CAE">
        <w:rPr>
          <w:rFonts w:ascii="Arial" w:hAnsi="Arial" w:cs="Arial"/>
          <w:sz w:val="20"/>
          <w:szCs w:val="20"/>
        </w:rPr>
        <w:t>for fiscal year 2020</w:t>
      </w:r>
      <w:r w:rsidRPr="00866CAE">
        <w:rPr>
          <w:rFonts w:ascii="Arial" w:hAnsi="Arial" w:cs="Arial"/>
          <w:sz w:val="20"/>
          <w:szCs w:val="20"/>
        </w:rPr>
        <w:t>, details as follows:</w:t>
      </w:r>
    </w:p>
    <w:p w:rsidR="00866CAE" w:rsidRPr="00866CAE" w:rsidRDefault="00866CAE" w:rsidP="00607EB8">
      <w:pPr>
        <w:rPr>
          <w:rFonts w:ascii="Arial" w:hAnsi="Arial" w:cs="Arial"/>
          <w:sz w:val="20"/>
          <w:szCs w:val="20"/>
        </w:rPr>
      </w:pPr>
      <w:r w:rsidRPr="00866CAE">
        <w:rPr>
          <w:rFonts w:ascii="Arial" w:hAnsi="Arial" w:cs="Arial"/>
          <w:sz w:val="20"/>
          <w:szCs w:val="20"/>
        </w:rPr>
        <w:t>- Rate of dividend payment: 10% of charter capital</w:t>
      </w:r>
    </w:p>
    <w:p w:rsidR="00866CAE" w:rsidRPr="00866CAE" w:rsidRDefault="00866CAE" w:rsidP="00607EB8">
      <w:pPr>
        <w:rPr>
          <w:rFonts w:ascii="Arial" w:hAnsi="Arial" w:cs="Arial"/>
          <w:sz w:val="20"/>
          <w:szCs w:val="20"/>
        </w:rPr>
      </w:pPr>
      <w:r w:rsidRPr="00866CAE">
        <w:rPr>
          <w:rFonts w:ascii="Arial" w:hAnsi="Arial" w:cs="Arial"/>
          <w:sz w:val="20"/>
          <w:szCs w:val="20"/>
        </w:rPr>
        <w:t>- Form of dividend payment: dividend payment by shares</w:t>
      </w:r>
    </w:p>
    <w:p w:rsidR="00866CAE" w:rsidRPr="00866CAE" w:rsidRDefault="00866CAE" w:rsidP="00607EB8">
      <w:pPr>
        <w:rPr>
          <w:rFonts w:ascii="Arial" w:hAnsi="Arial" w:cs="Arial"/>
          <w:sz w:val="20"/>
          <w:szCs w:val="20"/>
        </w:rPr>
      </w:pPr>
      <w:r w:rsidRPr="00866CAE">
        <w:rPr>
          <w:rFonts w:ascii="Arial" w:hAnsi="Arial" w:cs="Arial"/>
          <w:sz w:val="20"/>
          <w:szCs w:val="20"/>
        </w:rPr>
        <w:t>- Number of shares issued for dividend payment: 8,265,027 shares</w:t>
      </w:r>
    </w:p>
    <w:p w:rsidR="00866CAE" w:rsidRPr="00866CAE" w:rsidRDefault="00866CAE" w:rsidP="00866CAE">
      <w:pPr>
        <w:rPr>
          <w:rFonts w:ascii="Arial" w:hAnsi="Arial" w:cs="Arial"/>
          <w:sz w:val="20"/>
          <w:szCs w:val="20"/>
        </w:rPr>
      </w:pPr>
      <w:r w:rsidRPr="00866CAE">
        <w:rPr>
          <w:rFonts w:ascii="Arial" w:hAnsi="Arial" w:cs="Arial"/>
          <w:sz w:val="20"/>
          <w:szCs w:val="20"/>
        </w:rPr>
        <w:t>Article 02: Approve carrying out the plan the share issuance for dividend payment 2019</w:t>
      </w:r>
      <w:r>
        <w:rPr>
          <w:rFonts w:ascii="Arial" w:hAnsi="Arial" w:cs="Arial"/>
          <w:sz w:val="20"/>
          <w:szCs w:val="20"/>
        </w:rPr>
        <w:t xml:space="preserve"> according to Annual General Mandate No. 246/2020/NQ-DHCD</w:t>
      </w:r>
      <w:r w:rsidRPr="00866CAE">
        <w:rPr>
          <w:rFonts w:ascii="Arial" w:hAnsi="Arial" w:cs="Arial"/>
          <w:sz w:val="20"/>
          <w:szCs w:val="20"/>
        </w:rPr>
        <w:t>, details as follows:</w:t>
      </w:r>
    </w:p>
    <w:tbl>
      <w:tblPr>
        <w:tblW w:w="11057" w:type="dxa"/>
        <w:tblInd w:w="-1026" w:type="dxa"/>
        <w:tblLook w:val="04A0" w:firstRow="1" w:lastRow="0" w:firstColumn="1" w:lastColumn="0" w:noHBand="0" w:noVBand="1"/>
      </w:tblPr>
      <w:tblGrid>
        <w:gridCol w:w="6062"/>
        <w:gridCol w:w="4995"/>
      </w:tblGrid>
      <w:tr w:rsidR="00866CAE" w:rsidRPr="00866CAE" w:rsidTr="00CC20D0">
        <w:tc>
          <w:tcPr>
            <w:tcW w:w="6062" w:type="dxa"/>
            <w:shd w:val="clear" w:color="auto" w:fill="auto"/>
          </w:tcPr>
          <w:p w:rsidR="00866CAE" w:rsidRPr="00866CAE" w:rsidRDefault="00866CAE" w:rsidP="00866CAE">
            <w:pPr>
              <w:numPr>
                <w:ilvl w:val="0"/>
                <w:numId w:val="1"/>
              </w:numPr>
              <w:spacing w:after="0" w:line="360" w:lineRule="auto"/>
              <w:jc w:val="both"/>
              <w:rPr>
                <w:rFonts w:ascii="Arial" w:hAnsi="Arial" w:cs="Arial"/>
                <w:sz w:val="20"/>
                <w:szCs w:val="20"/>
              </w:rPr>
            </w:pPr>
            <w:r w:rsidRPr="00866CAE">
              <w:rPr>
                <w:rFonts w:ascii="Arial" w:hAnsi="Arial" w:cs="Arial"/>
                <w:sz w:val="20"/>
                <w:szCs w:val="20"/>
              </w:rPr>
              <w:t>Name of share</w:t>
            </w:r>
          </w:p>
        </w:tc>
        <w:tc>
          <w:tcPr>
            <w:tcW w:w="4995" w:type="dxa"/>
            <w:shd w:val="clear" w:color="auto" w:fill="auto"/>
          </w:tcPr>
          <w:p w:rsidR="00866CAE" w:rsidRPr="00866CAE" w:rsidRDefault="00866CAE" w:rsidP="00CC20D0">
            <w:pPr>
              <w:rPr>
                <w:rFonts w:ascii="Arial" w:hAnsi="Arial" w:cs="Arial"/>
                <w:sz w:val="20"/>
                <w:szCs w:val="20"/>
              </w:rPr>
            </w:pPr>
            <w:r w:rsidRPr="00866CAE">
              <w:rPr>
                <w:rFonts w:ascii="Arial" w:hAnsi="Arial" w:cs="Arial"/>
                <w:sz w:val="20"/>
                <w:szCs w:val="20"/>
              </w:rPr>
              <w:t xml:space="preserve">: Share of </w:t>
            </w:r>
            <w:r>
              <w:rPr>
                <w:rFonts w:ascii="Arial" w:hAnsi="Arial" w:cs="Arial"/>
                <w:sz w:val="20"/>
                <w:szCs w:val="20"/>
              </w:rPr>
              <w:t>Thang Long Investment Group</w:t>
            </w:r>
            <w:r w:rsidRPr="000D7F47">
              <w:rPr>
                <w:rFonts w:ascii="Arial" w:hAnsi="Arial" w:cs="Arial"/>
                <w:sz w:val="20"/>
                <w:szCs w:val="20"/>
              </w:rPr>
              <w:t xml:space="preserve"> Joint Stock Company</w:t>
            </w:r>
            <w:r w:rsidRPr="00866CAE">
              <w:rPr>
                <w:rFonts w:ascii="Arial" w:hAnsi="Arial" w:cs="Arial"/>
                <w:sz w:val="20"/>
                <w:szCs w:val="20"/>
              </w:rPr>
              <w:t>;</w:t>
            </w:r>
          </w:p>
        </w:tc>
      </w:tr>
      <w:tr w:rsidR="00866CAE" w:rsidRPr="00866CAE" w:rsidTr="00CC20D0">
        <w:tc>
          <w:tcPr>
            <w:tcW w:w="6062" w:type="dxa"/>
            <w:shd w:val="clear" w:color="auto" w:fill="auto"/>
          </w:tcPr>
          <w:p w:rsidR="00866CAE" w:rsidRPr="00866CAE" w:rsidRDefault="00866CAE" w:rsidP="00866CAE">
            <w:pPr>
              <w:numPr>
                <w:ilvl w:val="0"/>
                <w:numId w:val="1"/>
              </w:numPr>
              <w:spacing w:after="0" w:line="360" w:lineRule="auto"/>
              <w:jc w:val="both"/>
              <w:rPr>
                <w:rFonts w:ascii="Arial" w:hAnsi="Arial" w:cs="Arial"/>
                <w:sz w:val="20"/>
                <w:szCs w:val="20"/>
              </w:rPr>
            </w:pPr>
            <w:r w:rsidRPr="00866CAE">
              <w:rPr>
                <w:rFonts w:ascii="Arial" w:hAnsi="Arial" w:cs="Arial"/>
                <w:sz w:val="20"/>
                <w:szCs w:val="20"/>
              </w:rPr>
              <w:t>Type of share</w:t>
            </w:r>
          </w:p>
        </w:tc>
        <w:tc>
          <w:tcPr>
            <w:tcW w:w="4995" w:type="dxa"/>
            <w:shd w:val="clear" w:color="auto" w:fill="auto"/>
          </w:tcPr>
          <w:p w:rsidR="00866CAE" w:rsidRPr="00866CAE" w:rsidRDefault="00866CAE" w:rsidP="00CC20D0">
            <w:pPr>
              <w:rPr>
                <w:rFonts w:ascii="Arial" w:hAnsi="Arial" w:cs="Arial"/>
                <w:sz w:val="20"/>
                <w:szCs w:val="20"/>
              </w:rPr>
            </w:pPr>
            <w:r w:rsidRPr="00866CAE">
              <w:rPr>
                <w:rFonts w:ascii="Arial" w:hAnsi="Arial" w:cs="Arial"/>
                <w:sz w:val="20"/>
                <w:szCs w:val="20"/>
              </w:rPr>
              <w:t>: Common share;</w:t>
            </w:r>
          </w:p>
        </w:tc>
      </w:tr>
      <w:tr w:rsidR="00866CAE" w:rsidRPr="00866CAE" w:rsidTr="00CC20D0">
        <w:tc>
          <w:tcPr>
            <w:tcW w:w="6062" w:type="dxa"/>
            <w:shd w:val="clear" w:color="auto" w:fill="auto"/>
          </w:tcPr>
          <w:p w:rsidR="00866CAE" w:rsidRPr="00866CAE" w:rsidRDefault="00866CAE" w:rsidP="00866CAE">
            <w:pPr>
              <w:numPr>
                <w:ilvl w:val="0"/>
                <w:numId w:val="1"/>
              </w:numPr>
              <w:spacing w:after="0" w:line="360" w:lineRule="auto"/>
              <w:jc w:val="both"/>
              <w:rPr>
                <w:rFonts w:ascii="Arial" w:hAnsi="Arial" w:cs="Arial"/>
                <w:sz w:val="20"/>
                <w:szCs w:val="20"/>
              </w:rPr>
            </w:pPr>
            <w:r w:rsidRPr="00866CAE">
              <w:rPr>
                <w:rFonts w:ascii="Arial" w:hAnsi="Arial" w:cs="Arial"/>
                <w:sz w:val="20"/>
                <w:szCs w:val="20"/>
              </w:rPr>
              <w:t>Par value of share</w:t>
            </w:r>
          </w:p>
        </w:tc>
        <w:tc>
          <w:tcPr>
            <w:tcW w:w="4995" w:type="dxa"/>
            <w:shd w:val="clear" w:color="auto" w:fill="auto"/>
          </w:tcPr>
          <w:p w:rsidR="00866CAE" w:rsidRPr="00866CAE" w:rsidRDefault="00866CAE" w:rsidP="00CC20D0">
            <w:pPr>
              <w:rPr>
                <w:rFonts w:ascii="Arial" w:hAnsi="Arial" w:cs="Arial"/>
                <w:sz w:val="20"/>
                <w:szCs w:val="20"/>
              </w:rPr>
            </w:pPr>
            <w:r w:rsidRPr="00866CAE">
              <w:rPr>
                <w:rFonts w:ascii="Arial" w:hAnsi="Arial" w:cs="Arial"/>
                <w:sz w:val="20"/>
                <w:szCs w:val="20"/>
              </w:rPr>
              <w:t>: VND 10,000 per share;</w:t>
            </w:r>
          </w:p>
        </w:tc>
      </w:tr>
      <w:tr w:rsidR="00866CAE" w:rsidRPr="00866CAE" w:rsidTr="00CC20D0">
        <w:tc>
          <w:tcPr>
            <w:tcW w:w="6062" w:type="dxa"/>
            <w:shd w:val="clear" w:color="auto" w:fill="auto"/>
          </w:tcPr>
          <w:p w:rsidR="00866CAE" w:rsidRPr="00866CAE" w:rsidRDefault="00866CAE" w:rsidP="00866CAE">
            <w:pPr>
              <w:numPr>
                <w:ilvl w:val="0"/>
                <w:numId w:val="1"/>
              </w:numPr>
              <w:spacing w:after="0" w:line="360" w:lineRule="auto"/>
              <w:jc w:val="both"/>
              <w:rPr>
                <w:rFonts w:ascii="Arial" w:hAnsi="Arial" w:cs="Arial"/>
                <w:sz w:val="20"/>
                <w:szCs w:val="20"/>
              </w:rPr>
            </w:pPr>
            <w:r w:rsidRPr="00866CAE">
              <w:rPr>
                <w:rFonts w:ascii="Arial" w:hAnsi="Arial" w:cs="Arial"/>
                <w:sz w:val="20"/>
                <w:szCs w:val="20"/>
              </w:rPr>
              <w:t>Number of shares registered to be issued</w:t>
            </w:r>
          </w:p>
        </w:tc>
        <w:tc>
          <w:tcPr>
            <w:tcW w:w="4995" w:type="dxa"/>
            <w:shd w:val="clear" w:color="auto" w:fill="auto"/>
          </w:tcPr>
          <w:p w:rsidR="00866CAE" w:rsidRPr="00866CAE" w:rsidRDefault="00866CAE" w:rsidP="00866CAE">
            <w:pPr>
              <w:rPr>
                <w:rFonts w:ascii="Arial" w:hAnsi="Arial" w:cs="Arial"/>
                <w:sz w:val="20"/>
                <w:szCs w:val="20"/>
              </w:rPr>
            </w:pPr>
            <w:r>
              <w:rPr>
                <w:rFonts w:ascii="Arial" w:hAnsi="Arial" w:cs="Arial"/>
                <w:sz w:val="20"/>
                <w:szCs w:val="20"/>
              </w:rPr>
              <w:t>: 8,265,027</w:t>
            </w:r>
            <w:r w:rsidRPr="00866CAE">
              <w:rPr>
                <w:rFonts w:ascii="Arial" w:hAnsi="Arial" w:cs="Arial"/>
                <w:sz w:val="20"/>
                <w:szCs w:val="20"/>
              </w:rPr>
              <w:t xml:space="preserve"> shares</w:t>
            </w:r>
          </w:p>
        </w:tc>
      </w:tr>
      <w:tr w:rsidR="00866CAE" w:rsidRPr="00866CAE" w:rsidTr="00CC20D0">
        <w:tc>
          <w:tcPr>
            <w:tcW w:w="6062" w:type="dxa"/>
            <w:shd w:val="clear" w:color="auto" w:fill="auto"/>
          </w:tcPr>
          <w:p w:rsidR="00866CAE" w:rsidRPr="00866CAE" w:rsidRDefault="00866CAE" w:rsidP="00866CAE">
            <w:pPr>
              <w:numPr>
                <w:ilvl w:val="0"/>
                <w:numId w:val="1"/>
              </w:numPr>
              <w:spacing w:after="0" w:line="360" w:lineRule="auto"/>
              <w:jc w:val="both"/>
              <w:rPr>
                <w:rFonts w:ascii="Arial" w:hAnsi="Arial" w:cs="Arial"/>
                <w:sz w:val="20"/>
                <w:szCs w:val="20"/>
              </w:rPr>
            </w:pPr>
            <w:r>
              <w:rPr>
                <w:rFonts w:ascii="Arial" w:hAnsi="Arial" w:cs="Arial"/>
                <w:sz w:val="20"/>
                <w:szCs w:val="20"/>
              </w:rPr>
              <w:t>Purpose of share issued</w:t>
            </w:r>
          </w:p>
        </w:tc>
        <w:tc>
          <w:tcPr>
            <w:tcW w:w="4995" w:type="dxa"/>
            <w:shd w:val="clear" w:color="auto" w:fill="auto"/>
          </w:tcPr>
          <w:p w:rsidR="00866CAE" w:rsidRPr="00866CAE" w:rsidRDefault="00866CAE" w:rsidP="00866CAE">
            <w:pPr>
              <w:rPr>
                <w:rFonts w:ascii="Arial" w:hAnsi="Arial" w:cs="Arial"/>
                <w:sz w:val="20"/>
                <w:szCs w:val="20"/>
              </w:rPr>
            </w:pPr>
            <w:r w:rsidRPr="00866CAE">
              <w:rPr>
                <w:rFonts w:ascii="Arial" w:hAnsi="Arial" w:cs="Arial"/>
                <w:sz w:val="20"/>
                <w:szCs w:val="20"/>
              </w:rPr>
              <w:t xml:space="preserve">: </w:t>
            </w:r>
            <w:r>
              <w:rPr>
                <w:rFonts w:ascii="Arial" w:hAnsi="Arial" w:cs="Arial"/>
                <w:sz w:val="20"/>
                <w:szCs w:val="20"/>
              </w:rPr>
              <w:t>dividend payment 2019 by shares for outstanding shareholders from undistributed profit after tax</w:t>
            </w:r>
            <w:r w:rsidRPr="00866CAE">
              <w:rPr>
                <w:rFonts w:ascii="Arial" w:hAnsi="Arial" w:cs="Arial"/>
                <w:sz w:val="20"/>
                <w:szCs w:val="20"/>
              </w:rPr>
              <w:t>;</w:t>
            </w:r>
          </w:p>
        </w:tc>
      </w:tr>
      <w:tr w:rsidR="00866CAE" w:rsidRPr="00866CAE" w:rsidTr="00CC20D0">
        <w:tc>
          <w:tcPr>
            <w:tcW w:w="6062" w:type="dxa"/>
            <w:shd w:val="clear" w:color="auto" w:fill="auto"/>
          </w:tcPr>
          <w:p w:rsidR="00866CAE" w:rsidRDefault="00866CAE" w:rsidP="00866CAE">
            <w:pPr>
              <w:numPr>
                <w:ilvl w:val="0"/>
                <w:numId w:val="1"/>
              </w:numPr>
              <w:spacing w:after="0" w:line="360" w:lineRule="auto"/>
              <w:jc w:val="both"/>
              <w:rPr>
                <w:rFonts w:ascii="Arial" w:hAnsi="Arial" w:cs="Arial"/>
                <w:sz w:val="20"/>
                <w:szCs w:val="20"/>
              </w:rPr>
            </w:pPr>
            <w:r>
              <w:rPr>
                <w:rFonts w:ascii="Arial" w:hAnsi="Arial" w:cs="Arial"/>
                <w:sz w:val="20"/>
                <w:szCs w:val="20"/>
              </w:rPr>
              <w:t>Target subjects</w:t>
            </w:r>
          </w:p>
        </w:tc>
        <w:tc>
          <w:tcPr>
            <w:tcW w:w="4995" w:type="dxa"/>
            <w:shd w:val="clear" w:color="auto" w:fill="auto"/>
          </w:tcPr>
          <w:p w:rsidR="00866CAE" w:rsidRPr="00866CAE" w:rsidRDefault="00866CAE" w:rsidP="00866CAE">
            <w:pPr>
              <w:rPr>
                <w:rFonts w:ascii="Arial" w:hAnsi="Arial" w:cs="Arial"/>
                <w:sz w:val="20"/>
                <w:szCs w:val="20"/>
              </w:rPr>
            </w:pPr>
            <w:r>
              <w:rPr>
                <w:rFonts w:ascii="Arial" w:hAnsi="Arial" w:cs="Arial"/>
                <w:sz w:val="20"/>
                <w:szCs w:val="20"/>
              </w:rPr>
              <w:t>: share issued for outstanding shareholders</w:t>
            </w:r>
          </w:p>
        </w:tc>
      </w:tr>
      <w:tr w:rsidR="00866CAE" w:rsidRPr="00866CAE" w:rsidTr="00CC20D0">
        <w:tc>
          <w:tcPr>
            <w:tcW w:w="6062" w:type="dxa"/>
            <w:shd w:val="clear" w:color="auto" w:fill="auto"/>
          </w:tcPr>
          <w:p w:rsidR="00866CAE" w:rsidRPr="00866CAE" w:rsidRDefault="00866CAE" w:rsidP="00866CAE">
            <w:pPr>
              <w:numPr>
                <w:ilvl w:val="0"/>
                <w:numId w:val="1"/>
              </w:numPr>
              <w:spacing w:after="0" w:line="360" w:lineRule="auto"/>
              <w:jc w:val="both"/>
              <w:rPr>
                <w:rFonts w:ascii="Arial" w:hAnsi="Arial" w:cs="Arial"/>
                <w:sz w:val="20"/>
                <w:szCs w:val="20"/>
              </w:rPr>
            </w:pPr>
            <w:r w:rsidRPr="00866CAE">
              <w:rPr>
                <w:rFonts w:ascii="Arial" w:hAnsi="Arial" w:cs="Arial"/>
                <w:sz w:val="20"/>
                <w:szCs w:val="20"/>
              </w:rPr>
              <w:t>Implementation rate</w:t>
            </w:r>
          </w:p>
        </w:tc>
        <w:tc>
          <w:tcPr>
            <w:tcW w:w="4995" w:type="dxa"/>
            <w:shd w:val="clear" w:color="auto" w:fill="auto"/>
          </w:tcPr>
          <w:p w:rsidR="00866CAE" w:rsidRPr="00866CAE" w:rsidRDefault="00866CAE" w:rsidP="00CC20D0">
            <w:pPr>
              <w:rPr>
                <w:rFonts w:ascii="Arial" w:hAnsi="Arial" w:cs="Arial"/>
                <w:sz w:val="20"/>
                <w:szCs w:val="20"/>
              </w:rPr>
            </w:pPr>
            <w:r>
              <w:rPr>
                <w:rFonts w:ascii="Arial" w:hAnsi="Arial" w:cs="Arial"/>
                <w:sz w:val="20"/>
                <w:szCs w:val="20"/>
              </w:rPr>
              <w:t>: 10 : 1</w:t>
            </w:r>
            <w:r w:rsidRPr="00866CAE">
              <w:rPr>
                <w:rFonts w:ascii="Arial" w:hAnsi="Arial" w:cs="Arial"/>
                <w:sz w:val="20"/>
                <w:szCs w:val="20"/>
              </w:rPr>
              <w:t xml:space="preserve"> (sharehol</w:t>
            </w:r>
            <w:r>
              <w:rPr>
                <w:rFonts w:ascii="Arial" w:hAnsi="Arial" w:cs="Arial"/>
                <w:sz w:val="20"/>
                <w:szCs w:val="20"/>
              </w:rPr>
              <w:t>ders will receive 01 share for 10</w:t>
            </w:r>
            <w:r w:rsidRPr="00866CAE">
              <w:rPr>
                <w:rFonts w:ascii="Arial" w:hAnsi="Arial" w:cs="Arial"/>
                <w:sz w:val="20"/>
                <w:szCs w:val="20"/>
              </w:rPr>
              <w:t xml:space="preserve"> shares they own);</w:t>
            </w:r>
          </w:p>
        </w:tc>
      </w:tr>
      <w:tr w:rsidR="00866CAE" w:rsidRPr="00866CAE" w:rsidTr="00CC20D0">
        <w:tc>
          <w:tcPr>
            <w:tcW w:w="6062" w:type="dxa"/>
            <w:shd w:val="clear" w:color="auto" w:fill="auto"/>
          </w:tcPr>
          <w:p w:rsidR="00866CAE" w:rsidRPr="00866CAE" w:rsidRDefault="00866CAE" w:rsidP="00866CAE">
            <w:pPr>
              <w:numPr>
                <w:ilvl w:val="0"/>
                <w:numId w:val="1"/>
              </w:numPr>
              <w:spacing w:after="0" w:line="360" w:lineRule="auto"/>
              <w:jc w:val="both"/>
              <w:rPr>
                <w:rFonts w:ascii="Arial" w:hAnsi="Arial" w:cs="Arial"/>
                <w:sz w:val="20"/>
                <w:szCs w:val="20"/>
              </w:rPr>
            </w:pPr>
            <w:r w:rsidRPr="00866CAE">
              <w:rPr>
                <w:rFonts w:ascii="Arial" w:hAnsi="Arial" w:cs="Arial"/>
                <w:sz w:val="20"/>
                <w:szCs w:val="20"/>
              </w:rPr>
              <w:t xml:space="preserve">Capital for issuance </w:t>
            </w:r>
          </w:p>
        </w:tc>
        <w:tc>
          <w:tcPr>
            <w:tcW w:w="4995" w:type="dxa"/>
            <w:shd w:val="clear" w:color="auto" w:fill="auto"/>
          </w:tcPr>
          <w:p w:rsidR="00866CAE" w:rsidRPr="00866CAE" w:rsidRDefault="00866CAE" w:rsidP="00CC20D0">
            <w:pPr>
              <w:rPr>
                <w:rFonts w:ascii="Arial" w:hAnsi="Arial" w:cs="Arial"/>
                <w:sz w:val="20"/>
                <w:szCs w:val="20"/>
              </w:rPr>
            </w:pPr>
            <w:r w:rsidRPr="00866CAE">
              <w:rPr>
                <w:rFonts w:ascii="Arial" w:hAnsi="Arial" w:cs="Arial"/>
                <w:sz w:val="20"/>
                <w:szCs w:val="20"/>
              </w:rPr>
              <w:t>: profit not yet distributed accumulated until 31 Dec 2019;</w:t>
            </w:r>
          </w:p>
        </w:tc>
      </w:tr>
      <w:tr w:rsidR="00866CAE" w:rsidRPr="00866CAE" w:rsidTr="00CC20D0">
        <w:tc>
          <w:tcPr>
            <w:tcW w:w="6062" w:type="dxa"/>
            <w:shd w:val="clear" w:color="auto" w:fill="auto"/>
          </w:tcPr>
          <w:p w:rsidR="00866CAE" w:rsidRPr="00866CAE" w:rsidRDefault="00866CAE" w:rsidP="00866CAE">
            <w:pPr>
              <w:numPr>
                <w:ilvl w:val="0"/>
                <w:numId w:val="1"/>
              </w:numPr>
              <w:spacing w:after="0" w:line="360" w:lineRule="auto"/>
              <w:jc w:val="both"/>
              <w:rPr>
                <w:rFonts w:ascii="Arial" w:hAnsi="Arial" w:cs="Arial"/>
                <w:sz w:val="20"/>
                <w:szCs w:val="20"/>
              </w:rPr>
            </w:pPr>
            <w:r w:rsidRPr="00866CAE">
              <w:rPr>
                <w:rFonts w:ascii="Arial" w:hAnsi="Arial" w:cs="Arial"/>
                <w:sz w:val="20"/>
                <w:szCs w:val="20"/>
              </w:rPr>
              <w:t>Handling of odd-lot shares</w:t>
            </w:r>
          </w:p>
        </w:tc>
        <w:tc>
          <w:tcPr>
            <w:tcW w:w="4995" w:type="dxa"/>
            <w:shd w:val="clear" w:color="auto" w:fill="auto"/>
          </w:tcPr>
          <w:p w:rsidR="00866CAE" w:rsidRDefault="00866CAE" w:rsidP="00CC20D0">
            <w:pPr>
              <w:rPr>
                <w:rFonts w:ascii="Arial" w:hAnsi="Arial" w:cs="Arial"/>
                <w:sz w:val="20"/>
                <w:szCs w:val="20"/>
              </w:rPr>
            </w:pPr>
            <w:r w:rsidRPr="00866CAE">
              <w:rPr>
                <w:rFonts w:ascii="Arial" w:hAnsi="Arial" w:cs="Arial"/>
                <w:sz w:val="20"/>
                <w:szCs w:val="20"/>
              </w:rPr>
              <w:t xml:space="preserve">: number of odd-lot shares arising due to rounding </w:t>
            </w:r>
          </w:p>
          <w:p w:rsidR="00866CAE" w:rsidRPr="00866CAE" w:rsidRDefault="00866CAE" w:rsidP="00CC20D0">
            <w:pPr>
              <w:rPr>
                <w:rFonts w:ascii="Arial" w:hAnsi="Arial" w:cs="Arial"/>
                <w:sz w:val="20"/>
                <w:szCs w:val="20"/>
              </w:rPr>
            </w:pPr>
            <w:r w:rsidRPr="00866CAE">
              <w:rPr>
                <w:rFonts w:ascii="Arial" w:hAnsi="Arial" w:cs="Arial"/>
                <w:sz w:val="20"/>
                <w:szCs w:val="20"/>
              </w:rPr>
              <w:t>down to unit digit (if any) will be cancelled;</w:t>
            </w:r>
          </w:p>
        </w:tc>
      </w:tr>
      <w:tr w:rsidR="00866CAE" w:rsidRPr="00866CAE" w:rsidTr="00CC20D0">
        <w:tc>
          <w:tcPr>
            <w:tcW w:w="6062" w:type="dxa"/>
            <w:shd w:val="clear" w:color="auto" w:fill="auto"/>
          </w:tcPr>
          <w:p w:rsidR="00866CAE" w:rsidRPr="00866CAE" w:rsidRDefault="00CD756D" w:rsidP="00866CAE">
            <w:pPr>
              <w:numPr>
                <w:ilvl w:val="0"/>
                <w:numId w:val="1"/>
              </w:numPr>
              <w:spacing w:after="0" w:line="360" w:lineRule="auto"/>
              <w:jc w:val="both"/>
              <w:rPr>
                <w:rFonts w:ascii="Arial" w:hAnsi="Arial" w:cs="Arial"/>
                <w:sz w:val="20"/>
                <w:szCs w:val="20"/>
              </w:rPr>
            </w:pPr>
            <w:r w:rsidRPr="000D7F47">
              <w:rPr>
                <w:rFonts w:ascii="Arial" w:hAnsi="Arial" w:cs="Arial"/>
                <w:sz w:val="20"/>
                <w:szCs w:val="20"/>
              </w:rPr>
              <w:t>Restriction on transfer</w:t>
            </w:r>
          </w:p>
        </w:tc>
        <w:tc>
          <w:tcPr>
            <w:tcW w:w="4995" w:type="dxa"/>
            <w:shd w:val="clear" w:color="auto" w:fill="auto"/>
          </w:tcPr>
          <w:p w:rsidR="00866CAE" w:rsidRPr="00866CAE" w:rsidRDefault="00866CAE" w:rsidP="00CC20D0">
            <w:pPr>
              <w:rPr>
                <w:rFonts w:ascii="Arial" w:hAnsi="Arial" w:cs="Arial"/>
                <w:sz w:val="20"/>
                <w:szCs w:val="20"/>
              </w:rPr>
            </w:pPr>
            <w:r>
              <w:rPr>
                <w:rFonts w:ascii="Arial" w:hAnsi="Arial" w:cs="Arial"/>
                <w:sz w:val="20"/>
                <w:szCs w:val="20"/>
              </w:rPr>
              <w:t>: shares are free to transfer</w:t>
            </w:r>
          </w:p>
        </w:tc>
      </w:tr>
      <w:tr w:rsidR="00866CAE" w:rsidRPr="00866CAE" w:rsidTr="00CC20D0">
        <w:tc>
          <w:tcPr>
            <w:tcW w:w="6062" w:type="dxa"/>
            <w:shd w:val="clear" w:color="auto" w:fill="auto"/>
          </w:tcPr>
          <w:p w:rsidR="00866CAE" w:rsidRPr="00866CAE" w:rsidRDefault="00866CAE" w:rsidP="00866CAE">
            <w:pPr>
              <w:numPr>
                <w:ilvl w:val="0"/>
                <w:numId w:val="1"/>
              </w:numPr>
              <w:spacing w:after="0" w:line="360" w:lineRule="auto"/>
              <w:jc w:val="both"/>
              <w:rPr>
                <w:rFonts w:ascii="Arial" w:hAnsi="Arial" w:cs="Arial"/>
                <w:sz w:val="20"/>
                <w:szCs w:val="20"/>
              </w:rPr>
            </w:pPr>
            <w:r w:rsidRPr="00866CAE">
              <w:rPr>
                <w:rFonts w:ascii="Arial" w:hAnsi="Arial" w:cs="Arial"/>
                <w:sz w:val="20"/>
                <w:szCs w:val="20"/>
              </w:rPr>
              <w:t>Implementation time</w:t>
            </w:r>
          </w:p>
        </w:tc>
        <w:tc>
          <w:tcPr>
            <w:tcW w:w="4995" w:type="dxa"/>
            <w:shd w:val="clear" w:color="auto" w:fill="auto"/>
          </w:tcPr>
          <w:p w:rsidR="00866CAE" w:rsidRPr="00866CAE" w:rsidRDefault="00866CAE" w:rsidP="00866CAE">
            <w:pPr>
              <w:rPr>
                <w:rFonts w:ascii="Arial" w:hAnsi="Arial" w:cs="Arial"/>
                <w:sz w:val="20"/>
                <w:szCs w:val="20"/>
              </w:rPr>
            </w:pPr>
            <w:r w:rsidRPr="00866CAE">
              <w:rPr>
                <w:rFonts w:ascii="Arial" w:hAnsi="Arial" w:cs="Arial"/>
                <w:sz w:val="20"/>
                <w:szCs w:val="20"/>
              </w:rPr>
              <w:t>: after having the approval from the State Securities Commission of Vietnam</w:t>
            </w:r>
            <w:r>
              <w:rPr>
                <w:rFonts w:ascii="Arial" w:hAnsi="Arial" w:cs="Arial"/>
                <w:sz w:val="20"/>
                <w:szCs w:val="20"/>
              </w:rPr>
              <w:t>, expected in Q.4/2020</w:t>
            </w:r>
          </w:p>
        </w:tc>
      </w:tr>
    </w:tbl>
    <w:p w:rsidR="00866CAE" w:rsidRPr="00866CAE" w:rsidRDefault="00866CAE" w:rsidP="00607EB8">
      <w:pPr>
        <w:rPr>
          <w:rFonts w:ascii="Arial" w:hAnsi="Arial" w:cs="Arial"/>
          <w:sz w:val="20"/>
          <w:szCs w:val="20"/>
        </w:rPr>
      </w:pPr>
    </w:p>
    <w:p w:rsidR="00607EB8" w:rsidRDefault="00CD756D" w:rsidP="00607EB8">
      <w:pPr>
        <w:spacing w:after="0" w:line="360" w:lineRule="auto"/>
        <w:contextualSpacing/>
        <w:jc w:val="both"/>
        <w:rPr>
          <w:rFonts w:ascii="Arial" w:hAnsi="Arial" w:cs="Arial"/>
          <w:sz w:val="20"/>
          <w:szCs w:val="20"/>
        </w:rPr>
      </w:pPr>
      <w:r>
        <w:rPr>
          <w:rFonts w:ascii="Arial" w:hAnsi="Arial" w:cs="Arial"/>
          <w:sz w:val="20"/>
          <w:szCs w:val="20"/>
        </w:rPr>
        <w:t>Article 03: Implementation</w:t>
      </w:r>
    </w:p>
    <w:p w:rsidR="00CD756D" w:rsidRDefault="00CD756D" w:rsidP="00607EB8">
      <w:pPr>
        <w:spacing w:after="0" w:line="360" w:lineRule="auto"/>
        <w:contextualSpacing/>
        <w:jc w:val="both"/>
        <w:rPr>
          <w:rFonts w:ascii="Arial" w:hAnsi="Arial" w:cs="Arial"/>
          <w:sz w:val="20"/>
          <w:szCs w:val="20"/>
        </w:rPr>
      </w:pPr>
      <w:r>
        <w:rPr>
          <w:rFonts w:ascii="Arial" w:hAnsi="Arial" w:cs="Arial"/>
          <w:sz w:val="20"/>
          <w:szCs w:val="20"/>
        </w:rPr>
        <w:t>The Board of Director authorizes the Chair of the BOD/General Manager to conduct all necessary procedures as prescribed for the implementation of share issuance for dividend payment 2019</w:t>
      </w:r>
    </w:p>
    <w:p w:rsidR="00CD756D" w:rsidRDefault="00CD756D" w:rsidP="00607EB8">
      <w:pPr>
        <w:spacing w:after="0" w:line="360" w:lineRule="auto"/>
        <w:contextualSpacing/>
        <w:jc w:val="both"/>
        <w:rPr>
          <w:rFonts w:ascii="Arial" w:hAnsi="Arial" w:cs="Arial"/>
          <w:sz w:val="20"/>
          <w:szCs w:val="20"/>
        </w:rPr>
      </w:pPr>
      <w:r>
        <w:rPr>
          <w:rFonts w:ascii="Arial" w:hAnsi="Arial" w:cs="Arial"/>
          <w:sz w:val="20"/>
          <w:szCs w:val="20"/>
        </w:rPr>
        <w:t xml:space="preserve">Article 04: </w:t>
      </w:r>
      <w:r>
        <w:t>This Board Resolution is valid from the date of signature. Board of Directors, Board of General Managers, Supervisory Board, line departments of the Company and related individuals are responsible for the implementation of this Board Resolution.</w:t>
      </w:r>
    </w:p>
    <w:p w:rsidR="00866CAE" w:rsidRPr="000D7F47" w:rsidRDefault="00866CAE" w:rsidP="00607EB8">
      <w:pPr>
        <w:spacing w:after="0" w:line="360" w:lineRule="auto"/>
        <w:contextualSpacing/>
        <w:jc w:val="both"/>
        <w:rPr>
          <w:rFonts w:ascii="Arial" w:hAnsi="Arial" w:cs="Arial"/>
          <w:sz w:val="20"/>
          <w:szCs w:val="20"/>
        </w:rPr>
      </w:pPr>
    </w:p>
    <w:p w:rsidR="00557076" w:rsidRDefault="00D07E7A"/>
    <w:sectPr w:rsidR="00557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457"/>
    <w:multiLevelType w:val="hybridMultilevel"/>
    <w:tmpl w:val="F0FCABA4"/>
    <w:lvl w:ilvl="0" w:tplc="86B68C4E">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B8"/>
    <w:rsid w:val="000F1762"/>
    <w:rsid w:val="00607EB8"/>
    <w:rsid w:val="00680780"/>
    <w:rsid w:val="00862E59"/>
    <w:rsid w:val="00866CAE"/>
    <w:rsid w:val="00AE4176"/>
    <w:rsid w:val="00CD756D"/>
    <w:rsid w:val="00D0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878D"/>
  <w15:chartTrackingRefBased/>
  <w15:docId w15:val="{FB6C91EE-EBCB-4C72-BB02-DB1E9D66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3</cp:revision>
  <dcterms:created xsi:type="dcterms:W3CDTF">2020-09-15T03:20:00Z</dcterms:created>
  <dcterms:modified xsi:type="dcterms:W3CDTF">2020-09-15T08:52:00Z</dcterms:modified>
</cp:coreProperties>
</file>